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4DA067EA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proofErr w:type="spellStart"/>
      <w:r w:rsidR="00372DAE">
        <w:rPr>
          <w:b/>
        </w:rPr>
        <w:t>Nütrisyon</w:t>
      </w:r>
      <w:proofErr w:type="spellEnd"/>
      <w:r w:rsidR="00372DAE">
        <w:rPr>
          <w:b/>
        </w:rPr>
        <w:t xml:space="preserve"> Destek</w:t>
      </w:r>
      <w:r w:rsidR="00090F3D">
        <w:rPr>
          <w:b/>
        </w:rPr>
        <w:t xml:space="preserve"> Ekibi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3504B08D" w14:textId="77777777" w:rsidR="00372DAE" w:rsidRPr="00372DAE" w:rsidRDefault="00372DAE" w:rsidP="00372DAE">
      <w:pPr>
        <w:tabs>
          <w:tab w:val="left" w:pos="7185"/>
        </w:tabs>
        <w:rPr>
          <w:rFonts w:cstheme="minorHAnsi"/>
          <w:b/>
          <w:bCs/>
          <w:sz w:val="28"/>
          <w:szCs w:val="28"/>
          <w:u w:val="single"/>
        </w:rPr>
      </w:pPr>
    </w:p>
    <w:p w14:paraId="0FF5E260" w14:textId="77777777" w:rsidR="00372DAE" w:rsidRPr="00372DAE" w:rsidRDefault="00372DAE" w:rsidP="00372DAE">
      <w:pPr>
        <w:tabs>
          <w:tab w:val="left" w:pos="7185"/>
        </w:tabs>
        <w:jc w:val="center"/>
        <w:rPr>
          <w:rFonts w:cstheme="minorHAnsi"/>
          <w:b/>
          <w:bCs/>
          <w:sz w:val="28"/>
          <w:szCs w:val="28"/>
          <w:u w:val="single"/>
        </w:rPr>
      </w:pPr>
      <w:r w:rsidRPr="00372DAE">
        <w:rPr>
          <w:rFonts w:cstheme="minorHAnsi"/>
          <w:b/>
          <w:bCs/>
          <w:sz w:val="28"/>
          <w:szCs w:val="28"/>
          <w:u w:val="single"/>
        </w:rPr>
        <w:t>NÜTRİSYON DESTEK EKİBİ</w:t>
      </w:r>
    </w:p>
    <w:p w14:paraId="76763381" w14:textId="77777777" w:rsidR="00372DAE" w:rsidRPr="00372DAE" w:rsidRDefault="00372DAE" w:rsidP="00372DAE">
      <w:pPr>
        <w:tabs>
          <w:tab w:val="left" w:pos="7185"/>
        </w:tabs>
        <w:rPr>
          <w:rFonts w:cstheme="minorHAnsi"/>
          <w:sz w:val="24"/>
          <w:szCs w:val="24"/>
        </w:rPr>
      </w:pPr>
      <w:r w:rsidRPr="00372DAE">
        <w:rPr>
          <w:rFonts w:cstheme="minorHAnsi"/>
          <w:sz w:val="24"/>
          <w:szCs w:val="24"/>
        </w:rPr>
        <w:t xml:space="preserve">Hastaların </w:t>
      </w:r>
      <w:proofErr w:type="spellStart"/>
      <w:r w:rsidRPr="00372DAE">
        <w:rPr>
          <w:rFonts w:cstheme="minorHAnsi"/>
          <w:sz w:val="24"/>
          <w:szCs w:val="24"/>
        </w:rPr>
        <w:t>nütrisyonel</w:t>
      </w:r>
      <w:proofErr w:type="spellEnd"/>
      <w:r w:rsidRPr="00372DAE">
        <w:rPr>
          <w:rFonts w:cstheme="minorHAnsi"/>
          <w:sz w:val="24"/>
          <w:szCs w:val="24"/>
        </w:rPr>
        <w:t xml:space="preserve"> destek ihtiyacına yönelik süreçlerin yönetimini sağlamak üzere </w:t>
      </w:r>
      <w:proofErr w:type="spellStart"/>
      <w:r w:rsidRPr="00372DAE">
        <w:rPr>
          <w:rFonts w:cstheme="minorHAnsi"/>
          <w:sz w:val="24"/>
          <w:szCs w:val="24"/>
        </w:rPr>
        <w:t>Nütrisyon</w:t>
      </w:r>
      <w:proofErr w:type="spellEnd"/>
      <w:r w:rsidRPr="00372DAE">
        <w:rPr>
          <w:rFonts w:cstheme="minorHAnsi"/>
          <w:sz w:val="24"/>
          <w:szCs w:val="24"/>
        </w:rPr>
        <w:t xml:space="preserve"> Destek Ekibi (NDS) oluşturulmuştur. </w:t>
      </w:r>
      <w:proofErr w:type="spellStart"/>
      <w:r w:rsidRPr="00372DAE">
        <w:rPr>
          <w:rFonts w:cstheme="minorHAnsi"/>
          <w:sz w:val="24"/>
          <w:szCs w:val="24"/>
        </w:rPr>
        <w:t>Nütrisyonel</w:t>
      </w:r>
      <w:proofErr w:type="spellEnd"/>
      <w:r w:rsidRPr="00372DAE">
        <w:rPr>
          <w:rFonts w:cstheme="minorHAnsi"/>
          <w:sz w:val="24"/>
          <w:szCs w:val="24"/>
        </w:rPr>
        <w:t xml:space="preserve"> Destek Ekip Üyeleri aşağıdaki personelden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04E67425" w14:textId="13A65165" w:rsidR="00F808C3" w:rsidRDefault="00372DAE" w:rsidP="000D4CDC">
      <w:pPr>
        <w:spacing w:after="0"/>
        <w:rPr>
          <w:sz w:val="24"/>
        </w:rPr>
      </w:pPr>
      <w:r>
        <w:rPr>
          <w:sz w:val="24"/>
        </w:rPr>
        <w:t>Anestezi Uzmanı: Dr. Özcan ÖZBEK</w:t>
      </w:r>
    </w:p>
    <w:p w14:paraId="1A6C5F98" w14:textId="3F979BF0" w:rsidR="00372DAE" w:rsidRDefault="00372DAE" w:rsidP="000D4CDC">
      <w:pPr>
        <w:spacing w:after="0"/>
        <w:rPr>
          <w:sz w:val="24"/>
        </w:rPr>
      </w:pPr>
      <w:r>
        <w:rPr>
          <w:sz w:val="24"/>
        </w:rPr>
        <w:t>Eczane Sorumlusu: Gülsüm PAKÖZ</w:t>
      </w:r>
    </w:p>
    <w:p w14:paraId="119AE625" w14:textId="2F2D2118" w:rsidR="00372DAE" w:rsidRDefault="00372DAE" w:rsidP="000D4CDC">
      <w:pPr>
        <w:spacing w:after="0"/>
        <w:rPr>
          <w:sz w:val="24"/>
        </w:rPr>
      </w:pPr>
      <w:r>
        <w:rPr>
          <w:sz w:val="24"/>
        </w:rPr>
        <w:t>Diyetisyen: Rabia ATAMAN</w:t>
      </w:r>
    </w:p>
    <w:p w14:paraId="047EB831" w14:textId="6E8D3EAB" w:rsidR="00372DAE" w:rsidRDefault="00372DAE" w:rsidP="000D4CDC">
      <w:pPr>
        <w:spacing w:after="0"/>
        <w:rPr>
          <w:sz w:val="24"/>
        </w:rPr>
      </w:pPr>
      <w:r>
        <w:rPr>
          <w:sz w:val="24"/>
        </w:rPr>
        <w:t>Yoğun Bakım Sorumlu Hemşiresi: Zeynep KARAALİ</w:t>
      </w:r>
    </w:p>
    <w:p w14:paraId="3BAA220E" w14:textId="00BAB08D" w:rsidR="00372DAE" w:rsidRDefault="00372DAE" w:rsidP="000D4CDC">
      <w:pPr>
        <w:spacing w:after="0"/>
        <w:rPr>
          <w:rFonts w:cstheme="minorHAnsi"/>
          <w:sz w:val="24"/>
        </w:rPr>
      </w:pPr>
    </w:p>
    <w:p w14:paraId="1513B8B6" w14:textId="77777777" w:rsidR="00266FE4" w:rsidRPr="00372DAE" w:rsidRDefault="00266FE4" w:rsidP="000D4CDC">
      <w:pPr>
        <w:spacing w:after="0"/>
        <w:rPr>
          <w:rFonts w:cstheme="minorHAnsi"/>
          <w:sz w:val="24"/>
        </w:rPr>
      </w:pPr>
    </w:p>
    <w:p w14:paraId="1451A9E9" w14:textId="77777777" w:rsidR="00372DAE" w:rsidRPr="00372DAE" w:rsidRDefault="00372DAE" w:rsidP="00372DAE">
      <w:pPr>
        <w:tabs>
          <w:tab w:val="left" w:pos="7185"/>
        </w:tabs>
        <w:rPr>
          <w:rFonts w:cstheme="minorHAnsi"/>
          <w:b/>
          <w:bCs/>
        </w:rPr>
      </w:pPr>
      <w:r w:rsidRPr="00372DAE">
        <w:rPr>
          <w:rFonts w:cstheme="minorHAnsi"/>
          <w:b/>
          <w:bCs/>
        </w:rPr>
        <w:t>NÜTRİSYON DESTEK EKİBİ GÖREV YETKİ VE SORUMLULUKLARI:</w:t>
      </w:r>
    </w:p>
    <w:p w14:paraId="3F59F248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t xml:space="preserve">Beslenme desteğine gereksinimi olan hastaları tanımlamak, </w:t>
      </w:r>
      <w:proofErr w:type="spellStart"/>
      <w:r w:rsidRPr="00266FE4">
        <w:rPr>
          <w:rFonts w:cstheme="minorHAnsi"/>
        </w:rPr>
        <w:t>malnütrisyon</w:t>
      </w:r>
      <w:proofErr w:type="spellEnd"/>
      <w:r w:rsidRPr="00266FE4">
        <w:rPr>
          <w:rFonts w:cstheme="minorHAnsi"/>
        </w:rPr>
        <w:t xml:space="preserve"> derecesini belirlemek</w:t>
      </w:r>
    </w:p>
    <w:p w14:paraId="78B080CE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proofErr w:type="spellStart"/>
      <w:r w:rsidRPr="00266FE4">
        <w:rPr>
          <w:rFonts w:cstheme="minorHAnsi"/>
        </w:rPr>
        <w:t>Nütrisyon</w:t>
      </w:r>
      <w:proofErr w:type="spellEnd"/>
      <w:r w:rsidRPr="00266FE4">
        <w:rPr>
          <w:rFonts w:cstheme="minorHAnsi"/>
        </w:rPr>
        <w:t xml:space="preserve"> destek tedavilerinin (oral destek, </w:t>
      </w:r>
      <w:proofErr w:type="spellStart"/>
      <w:r w:rsidRPr="00266FE4">
        <w:rPr>
          <w:rFonts w:cstheme="minorHAnsi"/>
        </w:rPr>
        <w:t>enteral</w:t>
      </w:r>
      <w:proofErr w:type="spellEnd"/>
      <w:r w:rsidRPr="00266FE4">
        <w:rPr>
          <w:rFonts w:cstheme="minorHAnsi"/>
        </w:rPr>
        <w:t xml:space="preserve"> ve </w:t>
      </w:r>
      <w:proofErr w:type="spellStart"/>
      <w:r w:rsidRPr="00266FE4">
        <w:rPr>
          <w:rFonts w:cstheme="minorHAnsi"/>
        </w:rPr>
        <w:t>paranteral</w:t>
      </w:r>
      <w:proofErr w:type="spellEnd"/>
      <w:r w:rsidRPr="00266FE4">
        <w:rPr>
          <w:rFonts w:cstheme="minorHAnsi"/>
        </w:rPr>
        <w:t xml:space="preserve"> beslenme için) planlayabilme, doğru uygulanmasını ve beslenme yeterliliğine ulaşmasını ve güvenli bir beslenme desteği sağlayabilmek</w:t>
      </w:r>
    </w:p>
    <w:p w14:paraId="264A5812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proofErr w:type="spellStart"/>
      <w:r w:rsidRPr="00266FE4">
        <w:rPr>
          <w:rFonts w:cstheme="minorHAnsi"/>
        </w:rPr>
        <w:t>Enteral-paranteral</w:t>
      </w:r>
      <w:proofErr w:type="spellEnd"/>
      <w:r w:rsidRPr="00266FE4">
        <w:rPr>
          <w:rFonts w:cstheme="minorHAnsi"/>
        </w:rPr>
        <w:t xml:space="preserve"> yola karar vermek ve yerleştirmek</w:t>
      </w:r>
    </w:p>
    <w:p w14:paraId="0D21807C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t>Besin ögelerinin alımını düzenlemek</w:t>
      </w:r>
    </w:p>
    <w:p w14:paraId="594AD5A2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t>Gerekli tedavi değişikliklerini planlamak</w:t>
      </w:r>
    </w:p>
    <w:p w14:paraId="26F297B9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t>Uygulanan tedavinin yararlılığını arttırmak</w:t>
      </w:r>
    </w:p>
    <w:p w14:paraId="43B34EF3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proofErr w:type="spellStart"/>
      <w:r w:rsidRPr="00266FE4">
        <w:rPr>
          <w:rFonts w:cstheme="minorHAnsi"/>
        </w:rPr>
        <w:t>Nütrisyon</w:t>
      </w:r>
      <w:proofErr w:type="spellEnd"/>
      <w:r w:rsidRPr="00266FE4">
        <w:rPr>
          <w:rFonts w:cstheme="minorHAnsi"/>
        </w:rPr>
        <w:t xml:space="preserve"> desteğinde kullanılan tüm araç ve gerecin korunması bakımı ve eksikliklerinin </w:t>
      </w:r>
      <w:proofErr w:type="spellStart"/>
      <w:r w:rsidRPr="00266FE4">
        <w:rPr>
          <w:rFonts w:cstheme="minorHAnsi"/>
        </w:rPr>
        <w:t>enteral</w:t>
      </w:r>
      <w:proofErr w:type="spellEnd"/>
      <w:r w:rsidRPr="00266FE4">
        <w:rPr>
          <w:rFonts w:cstheme="minorHAnsi"/>
        </w:rPr>
        <w:t xml:space="preserve"> beslenme uygulanan hastalarda komplikasyonların (</w:t>
      </w:r>
      <w:proofErr w:type="spellStart"/>
      <w:r w:rsidRPr="00266FE4">
        <w:rPr>
          <w:rFonts w:cstheme="minorHAnsi"/>
        </w:rPr>
        <w:t>kateter</w:t>
      </w:r>
      <w:proofErr w:type="spellEnd"/>
      <w:r w:rsidRPr="00266FE4">
        <w:rPr>
          <w:rFonts w:cstheme="minorHAnsi"/>
        </w:rPr>
        <w:t xml:space="preserve"> </w:t>
      </w:r>
      <w:proofErr w:type="spellStart"/>
      <w:r w:rsidRPr="00266FE4">
        <w:rPr>
          <w:rFonts w:cstheme="minorHAnsi"/>
        </w:rPr>
        <w:t>sepsislerini</w:t>
      </w:r>
      <w:proofErr w:type="spellEnd"/>
      <w:r w:rsidRPr="00266FE4">
        <w:rPr>
          <w:rFonts w:cstheme="minorHAnsi"/>
        </w:rPr>
        <w:t xml:space="preserve"> vb.) önlemesi için tüpün ve setin yıkanması, doğru ürün, veriliş hızı, verildiği saatler, son kullanma tarihleri, saklama koşullarını kontrol eder/edilmesini sağlar ve gözlemlerini kaydeder. Tamamlanmasında klinik sorumlu hemşiresi ile iş birliği yapar</w:t>
      </w:r>
    </w:p>
    <w:p w14:paraId="50E8A9B3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lastRenderedPageBreak/>
        <w:t xml:space="preserve">Hastane çalışanlarına </w:t>
      </w:r>
      <w:proofErr w:type="spellStart"/>
      <w:r w:rsidRPr="00266FE4">
        <w:rPr>
          <w:rFonts w:cstheme="minorHAnsi"/>
        </w:rPr>
        <w:t>nutrisyon</w:t>
      </w:r>
      <w:proofErr w:type="spellEnd"/>
      <w:r w:rsidRPr="00266FE4">
        <w:rPr>
          <w:rFonts w:cstheme="minorHAnsi"/>
        </w:rPr>
        <w:t xml:space="preserve"> desteği ile ilgili farkındalık yaratmak için eğitimler yapmak</w:t>
      </w:r>
    </w:p>
    <w:p w14:paraId="08C327AD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t>Ekip üyeleri SKS çerçevesinde, Kalite Yönetim Birimi koordine olarak çalışmalarını yürütür</w:t>
      </w:r>
    </w:p>
    <w:p w14:paraId="41D5BDB0" w14:textId="77777777" w:rsidR="00266FE4" w:rsidRPr="00266FE4" w:rsidRDefault="00266FE4" w:rsidP="00266FE4">
      <w:pPr>
        <w:pStyle w:val="ListeParagraf"/>
        <w:numPr>
          <w:ilvl w:val="0"/>
          <w:numId w:val="6"/>
        </w:numPr>
        <w:tabs>
          <w:tab w:val="left" w:pos="7185"/>
        </w:tabs>
        <w:spacing w:after="160" w:line="259" w:lineRule="auto"/>
        <w:rPr>
          <w:rFonts w:cstheme="minorHAnsi"/>
        </w:rPr>
      </w:pPr>
      <w:r w:rsidRPr="00266FE4">
        <w:rPr>
          <w:rFonts w:cstheme="minorHAnsi"/>
        </w:rPr>
        <w:t>Gerekli durumlarda toplantı yapar</w:t>
      </w:r>
    </w:p>
    <w:p w14:paraId="75FD1703" w14:textId="77777777" w:rsidR="00372DAE" w:rsidRPr="00266FE4" w:rsidRDefault="00372DAE" w:rsidP="000D4CDC">
      <w:pPr>
        <w:spacing w:after="0"/>
        <w:rPr>
          <w:rFonts w:cstheme="minorHAnsi"/>
          <w:sz w:val="24"/>
        </w:rPr>
      </w:pPr>
    </w:p>
    <w:p w14:paraId="2AF87F47" w14:textId="1A378DAE" w:rsidR="00BC7CFF" w:rsidRPr="00266FE4" w:rsidRDefault="00BC7CFF" w:rsidP="000D4CDC">
      <w:pPr>
        <w:spacing w:after="0"/>
        <w:rPr>
          <w:rFonts w:cstheme="minorHAnsi"/>
          <w:sz w:val="24"/>
        </w:rPr>
      </w:pPr>
    </w:p>
    <w:p w14:paraId="6042F93E" w14:textId="77777777" w:rsidR="00BC7CFF" w:rsidRDefault="00BC7CFF" w:rsidP="000D4CDC">
      <w:pPr>
        <w:spacing w:after="0"/>
        <w:rPr>
          <w:sz w:val="24"/>
        </w:rPr>
      </w:pPr>
    </w:p>
    <w:p w14:paraId="00C077A8" w14:textId="77BBBC3C" w:rsidR="004B2638" w:rsidRDefault="004B2638" w:rsidP="00F808C3"/>
    <w:sectPr w:rsidR="004B2638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E3653"/>
    <w:multiLevelType w:val="hybridMultilevel"/>
    <w:tmpl w:val="7A823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90F3D"/>
    <w:rsid w:val="000C1037"/>
    <w:rsid w:val="000D4CDC"/>
    <w:rsid w:val="001B74DA"/>
    <w:rsid w:val="001C2282"/>
    <w:rsid w:val="00266FE4"/>
    <w:rsid w:val="002F5EB7"/>
    <w:rsid w:val="00372DAE"/>
    <w:rsid w:val="003E4AFB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F0750"/>
    <w:rsid w:val="00656112"/>
    <w:rsid w:val="00664C94"/>
    <w:rsid w:val="006A4D93"/>
    <w:rsid w:val="006C5A05"/>
    <w:rsid w:val="006F0BC0"/>
    <w:rsid w:val="007D67F3"/>
    <w:rsid w:val="007D74F7"/>
    <w:rsid w:val="00885FED"/>
    <w:rsid w:val="008B0077"/>
    <w:rsid w:val="008F696E"/>
    <w:rsid w:val="008F6C07"/>
    <w:rsid w:val="00A20C5D"/>
    <w:rsid w:val="00B01018"/>
    <w:rsid w:val="00B14CE6"/>
    <w:rsid w:val="00B94604"/>
    <w:rsid w:val="00BC7CFF"/>
    <w:rsid w:val="00C55989"/>
    <w:rsid w:val="00D100E8"/>
    <w:rsid w:val="00D106E8"/>
    <w:rsid w:val="00D26AB3"/>
    <w:rsid w:val="00D85153"/>
    <w:rsid w:val="00DA1AFA"/>
    <w:rsid w:val="00E3071C"/>
    <w:rsid w:val="00F06BCC"/>
    <w:rsid w:val="00F3317D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20</cp:revision>
  <cp:lastPrinted>2021-01-15T07:39:00Z</cp:lastPrinted>
  <dcterms:created xsi:type="dcterms:W3CDTF">2021-01-15T06:56:00Z</dcterms:created>
  <dcterms:modified xsi:type="dcterms:W3CDTF">2022-03-15T12:40:00Z</dcterms:modified>
</cp:coreProperties>
</file>